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2503DE">
      <w:pPr>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2503DE">
      <w:pPr>
        <w:spacing w:after="20" w:line="240" w:lineRule="auto"/>
        <w:jc w:val="center"/>
        <w:rPr>
          <w:lang w:val="tr-TR"/>
        </w:rPr>
      </w:pPr>
    </w:p>
    <w:p w:rsidR="002503DE" w:rsidRPr="002B2409"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EB33D4" w:rsidRPr="00FD4921" w:rsidRDefault="00EB33D4" w:rsidP="00321121">
      <w:pPr>
        <w:spacing w:after="40"/>
        <w:ind w:firstLine="567"/>
        <w:jc w:val="right"/>
        <w:rPr>
          <w:rFonts w:asciiTheme="majorHAnsi" w:hAnsiTheme="majorHAnsi"/>
          <w:b/>
          <w:sz w:val="24"/>
          <w:szCs w:val="24"/>
          <w:lang w:val="tr-TR"/>
        </w:rPr>
      </w:pPr>
      <w:r w:rsidRPr="002B2409">
        <w:rPr>
          <w:rFonts w:ascii="Times New Roman" w:hAnsi="Times New Roman"/>
          <w:b/>
          <w:sz w:val="18"/>
          <w:szCs w:val="18"/>
          <w:lang w:val="tr-TR"/>
        </w:rPr>
        <w:br/>
      </w:r>
      <w:r w:rsidR="00852A79" w:rsidRPr="00FD4921">
        <w:rPr>
          <w:rFonts w:asciiTheme="majorHAnsi" w:hAnsiTheme="majorHAnsi"/>
          <w:b/>
          <w:sz w:val="24"/>
          <w:szCs w:val="24"/>
          <w:lang w:val="tr-TR"/>
        </w:rPr>
        <w:t>03</w:t>
      </w:r>
      <w:r w:rsidRPr="00FD4921">
        <w:rPr>
          <w:rFonts w:asciiTheme="majorHAnsi" w:hAnsiTheme="majorHAnsi"/>
          <w:b/>
          <w:sz w:val="24"/>
          <w:szCs w:val="24"/>
          <w:lang w:val="tr-TR"/>
        </w:rPr>
        <w:t>.0</w:t>
      </w:r>
      <w:r w:rsidR="00852A79" w:rsidRPr="00FD4921">
        <w:rPr>
          <w:rFonts w:asciiTheme="majorHAnsi" w:hAnsiTheme="majorHAnsi"/>
          <w:b/>
          <w:sz w:val="24"/>
          <w:szCs w:val="24"/>
          <w:lang w:val="tr-TR"/>
        </w:rPr>
        <w:t>8</w:t>
      </w:r>
      <w:r w:rsidRPr="00FD4921">
        <w:rPr>
          <w:rFonts w:asciiTheme="majorHAnsi" w:hAnsiTheme="majorHAnsi"/>
          <w:b/>
          <w:sz w:val="24"/>
          <w:szCs w:val="24"/>
          <w:lang w:val="tr-TR"/>
        </w:rPr>
        <w:t>.2016</w:t>
      </w:r>
    </w:p>
    <w:p w:rsidR="00FD4921" w:rsidRPr="00FD4921" w:rsidRDefault="00FD4921" w:rsidP="00FD4921">
      <w:pPr>
        <w:spacing w:after="0" w:line="240" w:lineRule="auto"/>
        <w:jc w:val="center"/>
        <w:rPr>
          <w:rStyle w:val="apple-style-span"/>
          <w:rFonts w:asciiTheme="majorHAnsi" w:eastAsiaTheme="minorHAnsi" w:hAnsiTheme="majorHAnsi"/>
          <w:b/>
          <w:color w:val="000000"/>
          <w:sz w:val="24"/>
          <w:szCs w:val="24"/>
          <w:shd w:val="clear" w:color="auto" w:fill="FFFFFF"/>
          <w:lang w:val="tr-TR"/>
        </w:rPr>
      </w:pPr>
      <w:r w:rsidRPr="00FD4921">
        <w:rPr>
          <w:rStyle w:val="apple-style-span"/>
          <w:rFonts w:asciiTheme="majorHAnsi" w:hAnsiTheme="majorHAnsi"/>
          <w:b/>
          <w:color w:val="000000"/>
          <w:sz w:val="24"/>
          <w:szCs w:val="24"/>
          <w:shd w:val="clear" w:color="auto" w:fill="FFFFFF"/>
          <w:lang w:val="tr-TR"/>
        </w:rPr>
        <w:t>DİSK Birleşik Metal-İş Sendikası Sınıf Araştırmaları Merkezi</w:t>
      </w:r>
    </w:p>
    <w:p w:rsidR="00FD4921" w:rsidRPr="00396BB6" w:rsidRDefault="00FD4921" w:rsidP="00FD4921">
      <w:pPr>
        <w:spacing w:after="0" w:line="240" w:lineRule="auto"/>
        <w:jc w:val="center"/>
        <w:rPr>
          <w:rStyle w:val="apple-style-span"/>
          <w:rFonts w:ascii="Arial Black" w:hAnsi="Arial Black"/>
          <w:b/>
          <w:color w:val="000000"/>
          <w:sz w:val="32"/>
          <w:szCs w:val="32"/>
          <w:shd w:val="clear" w:color="auto" w:fill="FFFFFF"/>
          <w:lang w:val="tr-TR"/>
        </w:rPr>
      </w:pPr>
      <w:r w:rsidRPr="00396BB6">
        <w:rPr>
          <w:rStyle w:val="apple-style-span"/>
          <w:rFonts w:ascii="Arial Black" w:hAnsi="Arial Black"/>
          <w:b/>
          <w:color w:val="000000"/>
          <w:sz w:val="32"/>
          <w:szCs w:val="32"/>
          <w:shd w:val="clear" w:color="auto" w:fill="FFFFFF"/>
          <w:lang w:val="tr-TR"/>
        </w:rPr>
        <w:t>Enflasyon ve Hayat Pahalılığı Raporu</w:t>
      </w:r>
    </w:p>
    <w:p w:rsidR="00FD4921" w:rsidRPr="00FD4921" w:rsidRDefault="00FD4921" w:rsidP="00396BB6">
      <w:pPr>
        <w:spacing w:after="0" w:line="240" w:lineRule="auto"/>
        <w:jc w:val="center"/>
        <w:rPr>
          <w:rStyle w:val="apple-style-span"/>
          <w:rFonts w:asciiTheme="majorHAnsi" w:hAnsiTheme="majorHAnsi"/>
          <w:b/>
          <w:color w:val="000000"/>
          <w:sz w:val="24"/>
          <w:szCs w:val="24"/>
          <w:shd w:val="clear" w:color="auto" w:fill="FFFFFF"/>
          <w:lang w:val="tr-TR"/>
        </w:rPr>
      </w:pPr>
      <w:r w:rsidRPr="00FD4921">
        <w:rPr>
          <w:rStyle w:val="apple-style-span"/>
          <w:rFonts w:asciiTheme="majorHAnsi" w:hAnsiTheme="majorHAnsi"/>
          <w:b/>
          <w:color w:val="000000"/>
          <w:sz w:val="24"/>
          <w:szCs w:val="24"/>
          <w:shd w:val="clear" w:color="auto" w:fill="FFFFFF"/>
          <w:lang w:val="tr-TR"/>
        </w:rPr>
        <w:t>Temmuz 2016 Dönem Raporu</w:t>
      </w:r>
      <w:r w:rsidR="00396BB6">
        <w:rPr>
          <w:rStyle w:val="apple-style-span"/>
          <w:rFonts w:asciiTheme="majorHAnsi" w:hAnsiTheme="majorHAnsi"/>
          <w:b/>
          <w:color w:val="000000"/>
          <w:sz w:val="24"/>
          <w:szCs w:val="24"/>
          <w:shd w:val="clear" w:color="auto" w:fill="FFFFFF"/>
          <w:lang w:val="tr-TR"/>
        </w:rPr>
        <w:t xml:space="preserve"> (</w:t>
      </w:r>
      <w:proofErr w:type="gramStart"/>
      <w:r w:rsidRPr="00FD4921">
        <w:rPr>
          <w:rStyle w:val="apple-style-span"/>
          <w:rFonts w:asciiTheme="majorHAnsi" w:hAnsiTheme="majorHAnsi"/>
          <w:b/>
          <w:color w:val="000000"/>
          <w:sz w:val="24"/>
          <w:szCs w:val="24"/>
          <w:shd w:val="clear" w:color="auto" w:fill="FFFFFF"/>
          <w:lang w:val="tr-TR"/>
        </w:rPr>
        <w:t>03/08/2016</w:t>
      </w:r>
      <w:proofErr w:type="gramEnd"/>
      <w:r w:rsidR="00396BB6">
        <w:rPr>
          <w:rStyle w:val="apple-style-span"/>
          <w:rFonts w:asciiTheme="majorHAnsi" w:hAnsiTheme="majorHAnsi"/>
          <w:b/>
          <w:color w:val="000000"/>
          <w:sz w:val="24"/>
          <w:szCs w:val="24"/>
          <w:shd w:val="clear" w:color="auto" w:fill="FFFFFF"/>
          <w:lang w:val="tr-TR"/>
        </w:rPr>
        <w:t>)</w:t>
      </w:r>
    </w:p>
    <w:p w:rsidR="00FD4921" w:rsidRPr="00396BB6" w:rsidRDefault="00FD4921" w:rsidP="00FD4921">
      <w:pPr>
        <w:spacing w:after="0" w:line="240" w:lineRule="auto"/>
        <w:jc w:val="center"/>
        <w:rPr>
          <w:rStyle w:val="apple-style-span"/>
          <w:rFonts w:ascii="Arial Narrow" w:hAnsi="Arial Narrow"/>
          <w:b/>
          <w:color w:val="000000"/>
          <w:sz w:val="24"/>
          <w:szCs w:val="24"/>
          <w:shd w:val="clear" w:color="auto" w:fill="FFFFFF"/>
          <w:lang w:val="tr-TR"/>
        </w:rPr>
      </w:pPr>
    </w:p>
    <w:p w:rsidR="00FD4921" w:rsidRPr="00396BB6" w:rsidRDefault="00FD4921" w:rsidP="00FD4921">
      <w:pPr>
        <w:pStyle w:val="ListeParagraf"/>
        <w:numPr>
          <w:ilvl w:val="0"/>
          <w:numId w:val="9"/>
        </w:numPr>
        <w:spacing w:after="0" w:line="240" w:lineRule="auto"/>
        <w:jc w:val="both"/>
        <w:rPr>
          <w:rStyle w:val="apple-style-span"/>
          <w:rFonts w:ascii="Arial Narrow" w:hAnsi="Arial Narrow"/>
          <w:b/>
          <w:color w:val="000000"/>
          <w:sz w:val="24"/>
          <w:szCs w:val="24"/>
          <w:shd w:val="clear" w:color="auto" w:fill="FFFFFF"/>
          <w:lang w:val="tr-TR"/>
        </w:rPr>
      </w:pPr>
      <w:r w:rsidRPr="00396BB6">
        <w:rPr>
          <w:rStyle w:val="apple-style-span"/>
          <w:rFonts w:ascii="Arial Narrow" w:hAnsi="Arial Narrow"/>
          <w:b/>
          <w:color w:val="000000"/>
          <w:sz w:val="24"/>
          <w:szCs w:val="24"/>
          <w:shd w:val="clear" w:color="auto" w:fill="FFFFFF"/>
          <w:lang w:val="tr-TR"/>
        </w:rPr>
        <w:t>AYLIK ENFLASYON YEVMİYELİ ÇALIŞAN İÇİN YÜZDE 1.45, İŞVEREN İÇİN 0.93 OLARAK GERÇEKLEŞTİ</w:t>
      </w:r>
    </w:p>
    <w:p w:rsidR="00FD4921" w:rsidRPr="00396BB6" w:rsidRDefault="00FD4921" w:rsidP="00FD4921">
      <w:pPr>
        <w:pStyle w:val="ListeParagraf"/>
        <w:numPr>
          <w:ilvl w:val="0"/>
          <w:numId w:val="9"/>
        </w:numPr>
        <w:spacing w:after="0" w:line="240" w:lineRule="auto"/>
        <w:jc w:val="both"/>
        <w:rPr>
          <w:rStyle w:val="apple-style-span"/>
          <w:rFonts w:ascii="Arial Narrow" w:hAnsi="Arial Narrow"/>
          <w:b/>
          <w:color w:val="000000"/>
          <w:sz w:val="24"/>
          <w:szCs w:val="24"/>
          <w:shd w:val="clear" w:color="auto" w:fill="FFFFFF"/>
          <w:lang w:val="tr-TR"/>
        </w:rPr>
      </w:pPr>
      <w:r w:rsidRPr="00396BB6">
        <w:rPr>
          <w:rStyle w:val="apple-style-span"/>
          <w:rFonts w:ascii="Arial Narrow" w:hAnsi="Arial Narrow"/>
          <w:b/>
          <w:color w:val="000000"/>
          <w:sz w:val="24"/>
          <w:szCs w:val="24"/>
          <w:shd w:val="clear" w:color="auto" w:fill="FFFFFF"/>
          <w:lang w:val="tr-TR"/>
        </w:rPr>
        <w:t>YOKSULUN ENFLASYONU ZENGİNİN ENFLASYONUNDAN YÜZDE 0.55 PUAN FAZLA ÇIKTI</w:t>
      </w:r>
    </w:p>
    <w:p w:rsidR="00FD4921" w:rsidRPr="00396BB6" w:rsidRDefault="00FD4921" w:rsidP="00FD4921">
      <w:pPr>
        <w:pStyle w:val="ListeParagraf"/>
        <w:numPr>
          <w:ilvl w:val="0"/>
          <w:numId w:val="9"/>
        </w:numPr>
        <w:spacing w:after="0" w:line="240" w:lineRule="auto"/>
        <w:jc w:val="both"/>
        <w:rPr>
          <w:rStyle w:val="apple-style-span"/>
          <w:rFonts w:ascii="Arial Narrow" w:hAnsi="Arial Narrow"/>
          <w:b/>
          <w:color w:val="000000"/>
          <w:sz w:val="24"/>
          <w:szCs w:val="24"/>
          <w:shd w:val="clear" w:color="auto" w:fill="FFFFFF"/>
          <w:lang w:val="tr-TR"/>
        </w:rPr>
      </w:pPr>
      <w:r w:rsidRPr="00396BB6">
        <w:rPr>
          <w:rStyle w:val="apple-style-span"/>
          <w:rFonts w:ascii="Arial Narrow" w:hAnsi="Arial Narrow"/>
          <w:b/>
          <w:color w:val="000000"/>
          <w:sz w:val="24"/>
          <w:szCs w:val="24"/>
          <w:shd w:val="clear" w:color="auto" w:fill="FFFFFF"/>
          <w:lang w:val="tr-TR"/>
        </w:rPr>
        <w:t xml:space="preserve">ENFLASYON EN ÇOK DAR GELİRLİYİ VURDU </w:t>
      </w:r>
    </w:p>
    <w:p w:rsidR="00FD4921" w:rsidRDefault="00FD4921" w:rsidP="00FD4921">
      <w:pPr>
        <w:spacing w:after="0" w:line="240" w:lineRule="auto"/>
        <w:ind w:firstLine="360"/>
        <w:jc w:val="both"/>
        <w:rPr>
          <w:rStyle w:val="apple-style-span"/>
          <w:rFonts w:asciiTheme="majorHAnsi" w:hAnsiTheme="majorHAnsi"/>
          <w:color w:val="000000"/>
          <w:sz w:val="24"/>
          <w:szCs w:val="24"/>
          <w:shd w:val="clear" w:color="auto" w:fill="FFFFFF"/>
          <w:lang w:val="tr-TR"/>
        </w:rPr>
      </w:pPr>
    </w:p>
    <w:p w:rsidR="00FD4921" w:rsidRDefault="00FD4921" w:rsidP="00FD4921">
      <w:pPr>
        <w:spacing w:after="0" w:line="240" w:lineRule="auto"/>
        <w:ind w:firstLine="360"/>
        <w:jc w:val="both"/>
        <w:rPr>
          <w:rStyle w:val="apple-style-span"/>
          <w:rFonts w:asciiTheme="majorHAnsi" w:hAnsiTheme="majorHAnsi"/>
          <w:color w:val="000000"/>
          <w:sz w:val="24"/>
          <w:szCs w:val="24"/>
          <w:shd w:val="clear" w:color="auto" w:fill="FFFFFF"/>
          <w:lang w:val="tr-TR"/>
        </w:rPr>
      </w:pPr>
      <w:r w:rsidRPr="00FD4921">
        <w:rPr>
          <w:rStyle w:val="apple-style-span"/>
          <w:rFonts w:asciiTheme="majorHAnsi" w:hAnsiTheme="majorHAnsi"/>
          <w:color w:val="000000"/>
          <w:sz w:val="24"/>
          <w:szCs w:val="24"/>
          <w:shd w:val="clear" w:color="auto" w:fill="FFFFFF"/>
          <w:lang w:val="tr-TR"/>
        </w:rPr>
        <w:t xml:space="preserve">Birleşik Metal İş Sendikası Sınıf Araştırmaları Merkezi (BİSAM) tarafından hazırlanan Enflasyon ve Hayat Pahalılığı raporunun sonuçlarına göre TÜİK tarafından yüzde 1.16 olarak açıklanan aylık Tüketici Fiyat Endeksi’ndeki artış, yevmiyeli olarak çalışanlar için yüzde 1.45 olarak gerçekleşirken, işverenler için yüzde 0.93 olarak gerçekleşti. Mesleğe göre aylık enflasyondan en çok etkilenenler yüzde 1.41 ile “Nitelikli Tarım, Ormancılık ve Su Ürünleri Çalışanları” olurken, en az etkilenenler 0.72 ile profesyonel meslek mensupları oldu. En yoksul yüzde 20’lik kesim için enflasyon yüzde 1.48 ile en zengin yüzde 20’lik kesimin yaklaşık 0.65 puan üzerinde gerçekleşti.   </w:t>
      </w:r>
    </w:p>
    <w:p w:rsidR="00FD4921" w:rsidRDefault="00FD4921" w:rsidP="00FD4921">
      <w:pPr>
        <w:spacing w:after="0" w:line="240" w:lineRule="auto"/>
        <w:ind w:firstLine="360"/>
        <w:jc w:val="both"/>
        <w:rPr>
          <w:rStyle w:val="apple-style-span"/>
          <w:rFonts w:asciiTheme="majorHAnsi" w:hAnsiTheme="majorHAnsi"/>
          <w:color w:val="000000"/>
          <w:sz w:val="24"/>
          <w:szCs w:val="24"/>
          <w:shd w:val="clear" w:color="auto" w:fill="FFFFFF"/>
          <w:lang w:val="tr-TR"/>
        </w:rPr>
      </w:pPr>
      <w:r w:rsidRPr="00FD4921">
        <w:rPr>
          <w:rStyle w:val="apple-style-span"/>
          <w:rFonts w:asciiTheme="majorHAnsi" w:hAnsiTheme="majorHAnsi"/>
          <w:color w:val="000000"/>
          <w:sz w:val="24"/>
          <w:szCs w:val="24"/>
          <w:shd w:val="clear" w:color="auto" w:fill="FFFFFF"/>
          <w:lang w:val="tr-TR"/>
        </w:rPr>
        <w:t xml:space="preserve">BİSAM tarafından farklı gruplara göre enflasyon verileri TÜİK Tüketim Harcamaları İstatistikleri ve TÜİK Tüketici Fiyat Endeksi Harcama Gruplarına Göre Endeks Sonuçları kullanılarak hesaplanıyor. </w:t>
      </w:r>
    </w:p>
    <w:p w:rsidR="00FD4921" w:rsidRPr="00FD4921" w:rsidRDefault="00FD4921" w:rsidP="00FD4921">
      <w:pPr>
        <w:spacing w:after="0" w:line="240" w:lineRule="auto"/>
        <w:ind w:firstLine="360"/>
        <w:jc w:val="both"/>
        <w:rPr>
          <w:rStyle w:val="apple-style-span"/>
          <w:rFonts w:asciiTheme="majorHAnsi" w:hAnsiTheme="majorHAnsi"/>
          <w:color w:val="000000"/>
          <w:sz w:val="24"/>
          <w:szCs w:val="24"/>
          <w:shd w:val="clear" w:color="auto" w:fill="FFFFFF"/>
          <w:lang w:val="tr-TR"/>
        </w:rPr>
      </w:pPr>
      <w:r w:rsidRPr="00FD4921">
        <w:rPr>
          <w:rStyle w:val="apple-style-span"/>
          <w:rFonts w:asciiTheme="majorHAnsi" w:hAnsiTheme="majorHAnsi"/>
          <w:color w:val="000000"/>
          <w:sz w:val="24"/>
          <w:szCs w:val="24"/>
          <w:shd w:val="clear" w:color="auto" w:fill="FFFFFF"/>
          <w:lang w:val="tr-TR"/>
        </w:rPr>
        <w:t>BİSAM tarafından yapılan hesaplamaya göre AKP hükümetleri döneminde enflasyon çeşitli gelir ve tüketim grupları için farklı sonuçlar yaratıyor. Buna göre;</w:t>
      </w:r>
    </w:p>
    <w:p w:rsidR="00FD4921" w:rsidRPr="00FD4921" w:rsidRDefault="00FD4921" w:rsidP="00FD4921">
      <w:pPr>
        <w:pStyle w:val="ListeParagraf"/>
        <w:numPr>
          <w:ilvl w:val="0"/>
          <w:numId w:val="10"/>
        </w:numPr>
        <w:spacing w:after="0" w:line="240" w:lineRule="auto"/>
        <w:jc w:val="both"/>
        <w:rPr>
          <w:rStyle w:val="apple-style-span"/>
          <w:rFonts w:asciiTheme="majorHAnsi" w:hAnsiTheme="majorHAnsi"/>
          <w:color w:val="000000"/>
          <w:sz w:val="24"/>
          <w:szCs w:val="24"/>
          <w:shd w:val="clear" w:color="auto" w:fill="FFFFFF"/>
          <w:lang w:val="tr-TR"/>
        </w:rPr>
      </w:pPr>
      <w:r w:rsidRPr="00FD4921">
        <w:rPr>
          <w:rStyle w:val="apple-style-span"/>
          <w:rFonts w:asciiTheme="majorHAnsi" w:hAnsiTheme="majorHAnsi"/>
          <w:color w:val="000000"/>
          <w:sz w:val="24"/>
          <w:szCs w:val="24"/>
          <w:shd w:val="clear" w:color="auto" w:fill="FFFFFF"/>
          <w:lang w:val="tr-TR"/>
        </w:rPr>
        <w:t xml:space="preserve">Temmuz 2003-Temmuz 2016 dönemleri arasında genel TÜFE yüzde 183 artış gösterirken bu oran düzenli ücretlilerde yüzde 201, </w:t>
      </w:r>
    </w:p>
    <w:p w:rsidR="00FD4921" w:rsidRPr="00FD4921" w:rsidRDefault="00FD4921" w:rsidP="00FD4921">
      <w:pPr>
        <w:pStyle w:val="ListeParagraf"/>
        <w:numPr>
          <w:ilvl w:val="0"/>
          <w:numId w:val="10"/>
        </w:numPr>
        <w:spacing w:after="0" w:line="240" w:lineRule="auto"/>
        <w:jc w:val="both"/>
        <w:rPr>
          <w:rStyle w:val="apple-style-span"/>
          <w:rFonts w:asciiTheme="majorHAnsi" w:hAnsiTheme="majorHAnsi"/>
          <w:color w:val="000000"/>
          <w:sz w:val="24"/>
          <w:szCs w:val="24"/>
          <w:shd w:val="clear" w:color="auto" w:fill="FFFFFF"/>
          <w:lang w:val="tr-TR"/>
        </w:rPr>
      </w:pPr>
      <w:r w:rsidRPr="00FD4921">
        <w:rPr>
          <w:rStyle w:val="apple-style-span"/>
          <w:rFonts w:asciiTheme="majorHAnsi" w:hAnsiTheme="majorHAnsi"/>
          <w:color w:val="000000"/>
          <w:sz w:val="24"/>
          <w:szCs w:val="24"/>
          <w:shd w:val="clear" w:color="auto" w:fill="FFFFFF"/>
          <w:lang w:val="tr-TR"/>
        </w:rPr>
        <w:t xml:space="preserve">Nitelik Gerektirmeyen İşlerde Çalışanlar için yüzde 211, </w:t>
      </w:r>
    </w:p>
    <w:p w:rsidR="00FD4921" w:rsidRPr="00FD4921" w:rsidRDefault="00FD4921" w:rsidP="00FD4921">
      <w:pPr>
        <w:pStyle w:val="ListeParagraf"/>
        <w:numPr>
          <w:ilvl w:val="0"/>
          <w:numId w:val="10"/>
        </w:numPr>
        <w:spacing w:after="0" w:line="240" w:lineRule="auto"/>
        <w:jc w:val="both"/>
        <w:rPr>
          <w:rStyle w:val="apple-style-span"/>
          <w:rFonts w:asciiTheme="majorHAnsi" w:hAnsiTheme="majorHAnsi"/>
          <w:color w:val="000000"/>
          <w:sz w:val="24"/>
          <w:szCs w:val="24"/>
          <w:shd w:val="clear" w:color="auto" w:fill="FFFFFF"/>
          <w:lang w:val="tr-TR"/>
        </w:rPr>
      </w:pPr>
      <w:r w:rsidRPr="00FD4921">
        <w:rPr>
          <w:rStyle w:val="apple-style-span"/>
          <w:rFonts w:asciiTheme="majorHAnsi" w:hAnsiTheme="majorHAnsi"/>
          <w:color w:val="000000"/>
          <w:sz w:val="24"/>
          <w:szCs w:val="24"/>
          <w:shd w:val="clear" w:color="auto" w:fill="FFFFFF"/>
          <w:lang w:val="tr-TR"/>
        </w:rPr>
        <w:t>Temel gelir kaynağı ücret ve yevmiye olanlar için yüzde 202,</w:t>
      </w:r>
    </w:p>
    <w:p w:rsidR="00FD4921" w:rsidRDefault="00FD4921" w:rsidP="00FD4921">
      <w:pPr>
        <w:pStyle w:val="ListeParagraf"/>
        <w:numPr>
          <w:ilvl w:val="0"/>
          <w:numId w:val="10"/>
        </w:numPr>
        <w:spacing w:after="0" w:line="240" w:lineRule="auto"/>
        <w:jc w:val="both"/>
        <w:rPr>
          <w:rStyle w:val="apple-style-span"/>
          <w:rFonts w:asciiTheme="majorHAnsi" w:hAnsiTheme="majorHAnsi"/>
          <w:color w:val="000000"/>
          <w:sz w:val="24"/>
          <w:szCs w:val="24"/>
          <w:shd w:val="clear" w:color="auto" w:fill="FFFFFF"/>
          <w:lang w:val="tr-TR"/>
        </w:rPr>
      </w:pPr>
      <w:r w:rsidRPr="00FD4921">
        <w:rPr>
          <w:rStyle w:val="apple-style-span"/>
          <w:rFonts w:asciiTheme="majorHAnsi" w:hAnsiTheme="majorHAnsi"/>
          <w:color w:val="000000"/>
          <w:sz w:val="24"/>
          <w:szCs w:val="24"/>
          <w:shd w:val="clear" w:color="auto" w:fill="FFFFFF"/>
          <w:lang w:val="tr-TR"/>
        </w:rPr>
        <w:t>Nüfusun en yoksul % 20’lik kesimi için yüzde 212 oldu. En zengin yüzde 20’lik dilim için ise enflasyon yüzde 197 olarak gerçekleşti. Buna göre enflasyon yoksulu daha fazla vurdu.</w:t>
      </w:r>
    </w:p>
    <w:p w:rsidR="00FD4921" w:rsidRPr="00FD4921" w:rsidRDefault="00FD4921" w:rsidP="00FD4921">
      <w:pPr>
        <w:spacing w:after="0" w:line="240" w:lineRule="auto"/>
        <w:ind w:firstLine="360"/>
        <w:jc w:val="both"/>
        <w:rPr>
          <w:rFonts w:asciiTheme="majorHAnsi" w:hAnsiTheme="majorHAnsi"/>
          <w:color w:val="000000"/>
          <w:sz w:val="24"/>
          <w:szCs w:val="24"/>
          <w:shd w:val="clear" w:color="auto" w:fill="FFFFFF"/>
          <w:lang w:val="tr-TR"/>
        </w:rPr>
      </w:pPr>
      <w:r w:rsidRPr="00FD4921">
        <w:rPr>
          <w:rStyle w:val="apple-style-span"/>
          <w:rFonts w:asciiTheme="majorHAnsi" w:hAnsiTheme="majorHAnsi"/>
          <w:color w:val="000000"/>
          <w:sz w:val="24"/>
          <w:szCs w:val="24"/>
          <w:shd w:val="clear" w:color="auto" w:fill="FFFFFF"/>
          <w:lang w:val="tr-TR"/>
        </w:rPr>
        <w:t>BİSAM tarafından Temmuz 2003-Temmuz 2016 dönemlerine göre gizli yoksullaşma oranları da hesaplandı. Gizli yoksullaşma genel enflasyon rakamları ile farklı grupların enflasyonlarının arasındaki farktan kaynaklanan ve kayıtlara yansımayan yoksullaşma düzeyini ortaya koyuyor.</w:t>
      </w:r>
    </w:p>
    <w:p w:rsidR="00FD4921" w:rsidRPr="00FD4921" w:rsidRDefault="00FD4921" w:rsidP="00FD4921">
      <w:pPr>
        <w:spacing w:after="0" w:line="240" w:lineRule="auto"/>
        <w:jc w:val="both"/>
        <w:rPr>
          <w:rStyle w:val="apple-style-span"/>
          <w:rFonts w:asciiTheme="majorHAnsi" w:hAnsiTheme="majorHAnsi"/>
          <w:sz w:val="24"/>
          <w:szCs w:val="24"/>
          <w:lang w:val="tr-TR"/>
        </w:rPr>
      </w:pPr>
      <w:r w:rsidRPr="00FD4921">
        <w:rPr>
          <w:rFonts w:asciiTheme="majorHAnsi" w:hAnsiTheme="majorHAnsi"/>
          <w:sz w:val="24"/>
          <w:szCs w:val="24"/>
          <w:lang w:val="tr-TR"/>
        </w:rPr>
        <w:t xml:space="preserve">Buna göre son 13 yıllık dönemde (Temmuz 2003-Temmuz 2016) gizli </w:t>
      </w:r>
      <w:proofErr w:type="spellStart"/>
      <w:r w:rsidRPr="00FD4921">
        <w:rPr>
          <w:rFonts w:asciiTheme="majorHAnsi" w:hAnsiTheme="majorHAnsi"/>
          <w:sz w:val="24"/>
          <w:szCs w:val="24"/>
          <w:lang w:val="tr-TR"/>
        </w:rPr>
        <w:t>yoksulaşmayı</w:t>
      </w:r>
      <w:proofErr w:type="spellEnd"/>
      <w:r w:rsidRPr="00FD4921">
        <w:rPr>
          <w:rFonts w:asciiTheme="majorHAnsi" w:hAnsiTheme="majorHAnsi"/>
          <w:sz w:val="24"/>
          <w:szCs w:val="24"/>
          <w:lang w:val="tr-TR"/>
        </w:rPr>
        <w:t xml:space="preserve"> en yoğun olarak yaşayanlar, işteki duruma göre yüzde </w:t>
      </w:r>
      <w:proofErr w:type="gramStart"/>
      <w:r w:rsidRPr="00FD4921">
        <w:rPr>
          <w:rFonts w:asciiTheme="majorHAnsi" w:hAnsiTheme="majorHAnsi"/>
          <w:sz w:val="24"/>
          <w:szCs w:val="24"/>
          <w:lang w:val="tr-TR"/>
        </w:rPr>
        <w:t>10.2</w:t>
      </w:r>
      <w:proofErr w:type="gramEnd"/>
      <w:r w:rsidRPr="00FD4921">
        <w:rPr>
          <w:rFonts w:asciiTheme="majorHAnsi" w:hAnsiTheme="majorHAnsi"/>
          <w:sz w:val="24"/>
          <w:szCs w:val="24"/>
          <w:lang w:val="tr-TR"/>
        </w:rPr>
        <w:t xml:space="preserve"> oranla yevmiyeliler, mesleğe göre yüzde 9.16 ile Nitelik Gerektirmeyen İşlerde Çalışanlar, temel gelir kaynağına göre yüzde 10.3 ile diğer transferlerle geçinenler, gelir gruplarına göre yüzde 9.3 ile en yoksul yüzde 20’lik gelir grubunda yer alanlar, oldu.     </w:t>
      </w:r>
    </w:p>
    <w:p w:rsidR="00FD4921" w:rsidRPr="00FD4921" w:rsidRDefault="00FD4921" w:rsidP="00FD4921">
      <w:pPr>
        <w:spacing w:after="0" w:line="240" w:lineRule="auto"/>
        <w:ind w:firstLine="360"/>
        <w:jc w:val="both"/>
        <w:rPr>
          <w:rFonts w:asciiTheme="majorHAnsi" w:hAnsiTheme="majorHAnsi" w:cstheme="minorBidi"/>
          <w:color w:val="000000"/>
          <w:sz w:val="24"/>
          <w:szCs w:val="24"/>
          <w:shd w:val="clear" w:color="auto" w:fill="FFFFFF"/>
          <w:lang w:val="tr-TR"/>
        </w:rPr>
      </w:pPr>
      <w:r w:rsidRPr="00FD4921">
        <w:rPr>
          <w:rStyle w:val="apple-style-span"/>
          <w:rFonts w:asciiTheme="majorHAnsi" w:hAnsiTheme="majorHAnsi"/>
          <w:color w:val="000000"/>
          <w:sz w:val="24"/>
          <w:szCs w:val="24"/>
          <w:shd w:val="clear" w:color="auto" w:fill="FFFFFF"/>
          <w:lang w:val="tr-TR"/>
        </w:rPr>
        <w:t xml:space="preserve">Raporda enflasyondaki hareketlerin doğrudan doğruya alım gücüne etki eden bir role sahip olduğuna dikkat çekilerek, </w:t>
      </w:r>
      <w:r w:rsidRPr="00FD4921">
        <w:rPr>
          <w:rFonts w:asciiTheme="majorHAnsi" w:hAnsiTheme="majorHAnsi"/>
          <w:sz w:val="24"/>
          <w:szCs w:val="24"/>
          <w:lang w:val="tr-TR"/>
        </w:rPr>
        <w:t>kişinin kendi yaptığı harcama kalemlerindeki fiyat artışları (enflasyonu) ile resmi Tüketici Fiyat Endeksi arasındaki farkın istatistiklere yansımayan bir yoksulluğa neden olduğu vurgulandı. Raporda şu önerilere yer verildi.</w:t>
      </w:r>
    </w:p>
    <w:p w:rsidR="00FD4921" w:rsidRPr="00FD4921" w:rsidRDefault="00FD4921" w:rsidP="00FD4921">
      <w:pPr>
        <w:pStyle w:val="NormalWeb"/>
        <w:numPr>
          <w:ilvl w:val="0"/>
          <w:numId w:val="11"/>
        </w:numPr>
        <w:spacing w:before="0" w:beforeAutospacing="0" w:after="0" w:afterAutospacing="0"/>
        <w:jc w:val="both"/>
        <w:rPr>
          <w:rFonts w:asciiTheme="majorHAnsi" w:hAnsiTheme="majorHAnsi"/>
          <w:color w:val="000000"/>
          <w:shd w:val="clear" w:color="auto" w:fill="FFFFFF"/>
        </w:rPr>
      </w:pPr>
      <w:r w:rsidRPr="00FD4921">
        <w:rPr>
          <w:rFonts w:asciiTheme="majorHAnsi" w:hAnsiTheme="majorHAnsi"/>
          <w:color w:val="000000"/>
          <w:shd w:val="clear" w:color="auto" w:fill="FFFFFF"/>
        </w:rPr>
        <w:t>Ücret artışlarında dikkate alınacak ayrı bir endeks oluşturulmalıdır</w:t>
      </w:r>
    </w:p>
    <w:p w:rsidR="00FD4921" w:rsidRPr="00FD4921" w:rsidRDefault="00FD4921" w:rsidP="00FD4921">
      <w:pPr>
        <w:pStyle w:val="NormalWeb"/>
        <w:numPr>
          <w:ilvl w:val="0"/>
          <w:numId w:val="11"/>
        </w:numPr>
        <w:spacing w:before="0" w:beforeAutospacing="0" w:after="0" w:afterAutospacing="0"/>
        <w:jc w:val="both"/>
        <w:rPr>
          <w:rFonts w:asciiTheme="majorHAnsi" w:hAnsiTheme="majorHAnsi"/>
          <w:color w:val="000000"/>
          <w:shd w:val="clear" w:color="auto" w:fill="FFFFFF"/>
        </w:rPr>
      </w:pPr>
      <w:r w:rsidRPr="00FD4921">
        <w:rPr>
          <w:rFonts w:asciiTheme="majorHAnsi" w:hAnsiTheme="majorHAnsi"/>
          <w:color w:val="000000"/>
          <w:shd w:val="clear" w:color="auto" w:fill="FFFFFF"/>
        </w:rPr>
        <w:t>Fiyatı sistematik olarak gerileyen teknolojik ürünler mal sepetinden çıkartılmalıdır.</w:t>
      </w:r>
    </w:p>
    <w:p w:rsidR="00FD4921" w:rsidRPr="00FD4921" w:rsidRDefault="00FD4921" w:rsidP="00FD4921">
      <w:pPr>
        <w:pStyle w:val="NormalWeb"/>
        <w:numPr>
          <w:ilvl w:val="0"/>
          <w:numId w:val="11"/>
        </w:numPr>
        <w:spacing w:before="0" w:beforeAutospacing="0" w:after="0" w:afterAutospacing="0"/>
        <w:jc w:val="both"/>
        <w:rPr>
          <w:rFonts w:asciiTheme="majorHAnsi" w:hAnsiTheme="majorHAnsi"/>
          <w:color w:val="000000"/>
          <w:shd w:val="clear" w:color="auto" w:fill="FFFFFF"/>
        </w:rPr>
      </w:pPr>
      <w:r w:rsidRPr="00FD4921">
        <w:rPr>
          <w:rFonts w:asciiTheme="majorHAnsi" w:hAnsiTheme="majorHAnsi"/>
          <w:color w:val="000000"/>
          <w:shd w:val="clear" w:color="auto" w:fill="FFFFFF"/>
        </w:rPr>
        <w:lastRenderedPageBreak/>
        <w:t>Toplum tarafından yaygın olarak kullanılmadığı halde, yüksek değer taşıdığı için ciddi bir biçimde enflasyonu etkileyen ürünler mal sepetinde yer almamalıdır.</w:t>
      </w:r>
    </w:p>
    <w:p w:rsidR="00FD4921" w:rsidRPr="00FD4921" w:rsidRDefault="00FD4921" w:rsidP="00FD4921">
      <w:pPr>
        <w:pStyle w:val="NormalWeb"/>
        <w:numPr>
          <w:ilvl w:val="0"/>
          <w:numId w:val="11"/>
        </w:numPr>
        <w:spacing w:before="0" w:beforeAutospacing="0" w:after="0" w:afterAutospacing="0"/>
        <w:jc w:val="both"/>
        <w:rPr>
          <w:rFonts w:asciiTheme="majorHAnsi" w:hAnsiTheme="majorHAnsi"/>
          <w:color w:val="000000"/>
          <w:shd w:val="clear" w:color="auto" w:fill="FFFFFF"/>
        </w:rPr>
      </w:pPr>
      <w:r w:rsidRPr="00FD4921">
        <w:rPr>
          <w:rFonts w:asciiTheme="majorHAnsi" w:hAnsiTheme="majorHAnsi"/>
          <w:color w:val="000000"/>
          <w:shd w:val="clear" w:color="auto" w:fill="FFFFFF"/>
        </w:rPr>
        <w:t xml:space="preserve">Her türlü </w:t>
      </w:r>
      <w:proofErr w:type="spellStart"/>
      <w:r w:rsidRPr="00FD4921">
        <w:rPr>
          <w:rFonts w:asciiTheme="majorHAnsi" w:hAnsiTheme="majorHAnsi"/>
          <w:color w:val="000000"/>
          <w:shd w:val="clear" w:color="auto" w:fill="FFFFFF"/>
        </w:rPr>
        <w:t>subjektif</w:t>
      </w:r>
      <w:proofErr w:type="spellEnd"/>
      <w:r w:rsidRPr="00FD4921">
        <w:rPr>
          <w:rFonts w:asciiTheme="majorHAnsi" w:hAnsiTheme="majorHAnsi"/>
          <w:color w:val="000000"/>
          <w:shd w:val="clear" w:color="auto" w:fill="FFFFFF"/>
        </w:rPr>
        <w:t xml:space="preserve"> müdahaleye açık olan yıllık sepet değişimi konusunda, sendikalarında onayının alınması sağlamalıdır.</w:t>
      </w:r>
    </w:p>
    <w:p w:rsidR="00FD4921" w:rsidRPr="00FD4921" w:rsidRDefault="00FD4921" w:rsidP="00FD4921">
      <w:pPr>
        <w:pStyle w:val="NormalWeb"/>
        <w:numPr>
          <w:ilvl w:val="0"/>
          <w:numId w:val="11"/>
        </w:numPr>
        <w:spacing w:before="0" w:beforeAutospacing="0" w:after="0" w:afterAutospacing="0"/>
        <w:jc w:val="both"/>
        <w:rPr>
          <w:rFonts w:asciiTheme="majorHAnsi" w:hAnsiTheme="majorHAnsi"/>
          <w:color w:val="000000"/>
          <w:shd w:val="clear" w:color="auto" w:fill="FFFFFF"/>
        </w:rPr>
      </w:pPr>
      <w:r w:rsidRPr="00FD4921">
        <w:rPr>
          <w:rFonts w:asciiTheme="majorHAnsi" w:hAnsiTheme="majorHAnsi"/>
          <w:color w:val="000000"/>
          <w:shd w:val="clear" w:color="auto" w:fill="FFFFFF"/>
        </w:rPr>
        <w:t>İstatistik konseyinin kapsamı genişletilerek emek örgütlerinin katılımı ve denetimi sağlanmalıdır.</w:t>
      </w:r>
    </w:p>
    <w:p w:rsidR="00FD4921" w:rsidRPr="00FD4921" w:rsidRDefault="00FD4921" w:rsidP="00FD4921">
      <w:pPr>
        <w:pStyle w:val="NormalWeb"/>
        <w:numPr>
          <w:ilvl w:val="0"/>
          <w:numId w:val="11"/>
        </w:numPr>
        <w:spacing w:before="0" w:beforeAutospacing="0" w:after="0" w:afterAutospacing="0"/>
        <w:jc w:val="both"/>
        <w:rPr>
          <w:rFonts w:asciiTheme="majorHAnsi" w:hAnsiTheme="majorHAnsi"/>
          <w:color w:val="000000"/>
          <w:shd w:val="clear" w:color="auto" w:fill="FFFFFF"/>
        </w:rPr>
      </w:pPr>
      <w:r w:rsidRPr="00FD4921">
        <w:rPr>
          <w:rFonts w:asciiTheme="majorHAnsi" w:hAnsiTheme="majorHAnsi"/>
          <w:color w:val="000000"/>
          <w:shd w:val="clear" w:color="auto" w:fill="FFFFFF"/>
        </w:rPr>
        <w:t xml:space="preserve">Hükümet mensuplarının </w:t>
      </w:r>
      <w:proofErr w:type="spellStart"/>
      <w:r w:rsidRPr="00FD4921">
        <w:rPr>
          <w:rFonts w:asciiTheme="majorHAnsi" w:hAnsiTheme="majorHAnsi"/>
          <w:color w:val="000000"/>
          <w:shd w:val="clear" w:color="auto" w:fill="FFFFFF"/>
        </w:rPr>
        <w:t>TÜİK’e</w:t>
      </w:r>
      <w:proofErr w:type="spellEnd"/>
      <w:r w:rsidRPr="00FD4921">
        <w:rPr>
          <w:rFonts w:asciiTheme="majorHAnsi" w:hAnsiTheme="majorHAnsi"/>
          <w:color w:val="000000"/>
          <w:shd w:val="clear" w:color="auto" w:fill="FFFFFF"/>
        </w:rPr>
        <w:t xml:space="preserve"> müdahalesi anlamına gelecek yaklaşımlardan uzak durmaları sağlanmalıdır.</w:t>
      </w:r>
    </w:p>
    <w:p w:rsidR="00FD4921" w:rsidRDefault="00FD4921" w:rsidP="00FD4921">
      <w:pPr>
        <w:pStyle w:val="NormalWeb"/>
        <w:numPr>
          <w:ilvl w:val="0"/>
          <w:numId w:val="11"/>
        </w:numPr>
        <w:spacing w:before="0" w:beforeAutospacing="0" w:after="0" w:afterAutospacing="0"/>
        <w:jc w:val="both"/>
        <w:rPr>
          <w:rFonts w:asciiTheme="majorHAnsi" w:hAnsiTheme="majorHAnsi"/>
          <w:color w:val="000000"/>
          <w:shd w:val="clear" w:color="auto" w:fill="FFFFFF"/>
        </w:rPr>
      </w:pPr>
      <w:r w:rsidRPr="00FD4921">
        <w:rPr>
          <w:rFonts w:asciiTheme="majorHAnsi" w:hAnsiTheme="majorHAnsi"/>
          <w:color w:val="000000"/>
          <w:shd w:val="clear" w:color="auto" w:fill="FFFFFF"/>
        </w:rPr>
        <w:t xml:space="preserve">Enflasyon hesaplamasında yukarıda belirtilen unsurlardan kaynaklı yaşanan gelir kayıpları giderilmelidir. </w:t>
      </w:r>
    </w:p>
    <w:p w:rsidR="00FD4921" w:rsidRDefault="00FD4921" w:rsidP="00FD4921">
      <w:pPr>
        <w:spacing w:after="0" w:line="240" w:lineRule="auto"/>
        <w:jc w:val="both"/>
        <w:rPr>
          <w:rStyle w:val="apple-style-span"/>
          <w:rFonts w:asciiTheme="majorHAnsi" w:hAnsiTheme="majorHAnsi"/>
          <w:color w:val="000000"/>
          <w:sz w:val="24"/>
          <w:szCs w:val="24"/>
          <w:shd w:val="clear" w:color="auto" w:fill="FFFFFF"/>
          <w:lang w:val="tr-TR"/>
        </w:rPr>
      </w:pPr>
    </w:p>
    <w:p w:rsidR="00FD4921" w:rsidRPr="00FD4921" w:rsidRDefault="00FD4921" w:rsidP="00FD4921">
      <w:pPr>
        <w:spacing w:after="0" w:line="240" w:lineRule="auto"/>
        <w:jc w:val="both"/>
        <w:rPr>
          <w:rStyle w:val="apple-style-span"/>
          <w:rFonts w:asciiTheme="majorHAnsi" w:hAnsiTheme="majorHAnsi"/>
          <w:b/>
          <w:sz w:val="24"/>
          <w:szCs w:val="24"/>
          <w:lang w:val="tr-TR"/>
        </w:rPr>
      </w:pPr>
      <w:r w:rsidRPr="00FD4921">
        <w:rPr>
          <w:rStyle w:val="apple-style-span"/>
          <w:rFonts w:asciiTheme="majorHAnsi" w:hAnsiTheme="majorHAnsi"/>
          <w:b/>
          <w:color w:val="000000"/>
          <w:sz w:val="24"/>
          <w:szCs w:val="24"/>
          <w:shd w:val="clear" w:color="auto" w:fill="FFFFFF"/>
          <w:lang w:val="tr-TR"/>
        </w:rPr>
        <w:t xml:space="preserve">Tablo 1- Gizli yoksullaşma oranları </w:t>
      </w:r>
    </w:p>
    <w:tbl>
      <w:tblPr>
        <w:tblW w:w="9569" w:type="dxa"/>
        <w:tblInd w:w="65" w:type="dxa"/>
        <w:tblCellMar>
          <w:left w:w="70" w:type="dxa"/>
          <w:right w:w="70" w:type="dxa"/>
        </w:tblCellMar>
        <w:tblLook w:val="04A0" w:firstRow="1" w:lastRow="0" w:firstColumn="1" w:lastColumn="0" w:noHBand="0" w:noVBand="1"/>
      </w:tblPr>
      <w:tblGrid>
        <w:gridCol w:w="6540"/>
        <w:gridCol w:w="3029"/>
      </w:tblGrid>
      <w:tr w:rsidR="00FD4921" w:rsidRPr="00FD4921" w:rsidTr="00FD4921">
        <w:trPr>
          <w:trHeight w:val="301"/>
        </w:trPr>
        <w:tc>
          <w:tcPr>
            <w:tcW w:w="6540" w:type="dxa"/>
            <w:tcBorders>
              <w:top w:val="single" w:sz="4" w:space="0" w:color="auto"/>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İŞTEKİ DURUMA GÖRE</w:t>
            </w:r>
          </w:p>
        </w:tc>
        <w:tc>
          <w:tcPr>
            <w:tcW w:w="3029" w:type="dxa"/>
            <w:tcBorders>
              <w:top w:val="single" w:sz="4" w:space="0" w:color="auto"/>
              <w:left w:val="nil"/>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Gizli Yoksullaşma Oranı</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Düzenli Ücretli Çalışanlar</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6,20%</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İşverenler</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4,91%</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Kendi Hesabına Çalışanlar</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5,74%</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Ücretsiz Aile Çalışanları</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4,30%</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Yevmiyeli (Gündelik) Çalışanlar</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10,21%</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Çalışmayanlar</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8,46%</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MESLEĞE GÖRE</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Büro Hizmetlerinde Çalışan Elemanlar</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6,73%</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Çalışmayanlar</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8,46%</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Hizmet Ve Satış Elemanları</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6,64%</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Nitelik Gerektirmeyen İşlerde Çalışanlar</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9,16%</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Nitelikli Tarım, Ormancılık Ve Su Ürünleri Çalışanları</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5,72%</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Profesyonel Meslek Mensupları</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3,38%</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w:t>
            </w:r>
            <w:proofErr w:type="gramStart"/>
            <w:r w:rsidRPr="00FD4921">
              <w:rPr>
                <w:rFonts w:asciiTheme="majorHAnsi" w:eastAsia="Times New Roman" w:hAnsiTheme="majorHAnsi" w:cs="Arial"/>
                <w:sz w:val="20"/>
                <w:szCs w:val="20"/>
                <w:lang w:val="tr-TR" w:eastAsia="tr-TR"/>
              </w:rPr>
              <w:t>Sanatkarlar</w:t>
            </w:r>
            <w:proofErr w:type="gramEnd"/>
            <w:r w:rsidRPr="00FD4921">
              <w:rPr>
                <w:rFonts w:asciiTheme="majorHAnsi" w:eastAsia="Times New Roman" w:hAnsiTheme="majorHAnsi" w:cs="Arial"/>
                <w:sz w:val="20"/>
                <w:szCs w:val="20"/>
                <w:lang w:val="tr-TR" w:eastAsia="tr-TR"/>
              </w:rPr>
              <w:t xml:space="preserve"> Ve İlgili İşlerde Çalışanlar</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7,08%</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Teknisyenler, Teknikerler Ve Yardımcı Profesyonel Meslek Mensupları</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5,34%</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Tesis Ve Makine Operatörleri Ve Montajcılar</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8,82%</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Yöneticiler</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5,15%</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TEMEL GELİR KAYNAĞINA GÖRE</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Ücret, yevmiye</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6,36%</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proofErr w:type="spellStart"/>
            <w:r w:rsidRPr="00FD4921">
              <w:rPr>
                <w:rFonts w:asciiTheme="majorHAnsi" w:eastAsia="Times New Roman" w:hAnsiTheme="majorHAnsi" w:cs="Arial"/>
                <w:sz w:val="20"/>
                <w:szCs w:val="20"/>
                <w:lang w:val="tr-TR" w:eastAsia="tr-TR"/>
              </w:rPr>
              <w:t>Mütesebbis</w:t>
            </w:r>
            <w:proofErr w:type="spellEnd"/>
            <w:r w:rsidRPr="00FD4921">
              <w:rPr>
                <w:rFonts w:asciiTheme="majorHAnsi" w:eastAsia="Times New Roman" w:hAnsiTheme="majorHAnsi" w:cs="Arial"/>
                <w:sz w:val="20"/>
                <w:szCs w:val="20"/>
                <w:lang w:val="tr-TR" w:eastAsia="tr-TR"/>
              </w:rPr>
              <w:t xml:space="preserve"> Geliri</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5,74%</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Emekli aylığı</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8,10%</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Diğer Transferler</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10,27%</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Gayrimenkul Kira Geliri Ve Menkul Kıymet Faiz Geliri</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9,12%</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GELİR GRUPLARINA GÖRE</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 Yüzde 20 En Yoksul</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9,23%</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 Yüzde 20</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8,20%</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3. Yüzde 20</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8,12%</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 Yüzde 20</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8,12%</w:t>
            </w:r>
          </w:p>
        </w:tc>
      </w:tr>
      <w:tr w:rsidR="00FD4921" w:rsidRPr="00FD4921" w:rsidTr="00FD4921">
        <w:trPr>
          <w:trHeight w:val="255"/>
        </w:trPr>
        <w:tc>
          <w:tcPr>
            <w:tcW w:w="6540" w:type="dxa"/>
            <w:tcBorders>
              <w:top w:val="nil"/>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 Yüzde 20 En Zengin</w:t>
            </w:r>
          </w:p>
        </w:tc>
        <w:tc>
          <w:tcPr>
            <w:tcW w:w="3029"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jc w:val="right"/>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4,82%</w:t>
            </w:r>
          </w:p>
        </w:tc>
      </w:tr>
    </w:tbl>
    <w:p w:rsidR="00FD4921" w:rsidRPr="00FD4921" w:rsidRDefault="00FD4921" w:rsidP="00FD4921">
      <w:pPr>
        <w:spacing w:after="0" w:line="240" w:lineRule="auto"/>
        <w:jc w:val="both"/>
        <w:rPr>
          <w:rStyle w:val="apple-style-span"/>
          <w:rFonts w:asciiTheme="majorHAnsi" w:hAnsiTheme="majorHAnsi"/>
          <w:color w:val="000000"/>
          <w:sz w:val="20"/>
          <w:szCs w:val="20"/>
          <w:shd w:val="clear" w:color="auto" w:fill="FFFFFF"/>
          <w:lang w:val="tr-TR"/>
        </w:rPr>
      </w:pPr>
    </w:p>
    <w:p w:rsidR="00FD4921" w:rsidRPr="00FD4921" w:rsidRDefault="00FD4921" w:rsidP="00FD4921">
      <w:pPr>
        <w:spacing w:after="0" w:line="240" w:lineRule="auto"/>
        <w:jc w:val="both"/>
        <w:rPr>
          <w:rStyle w:val="apple-style-span"/>
          <w:rFonts w:asciiTheme="majorHAnsi" w:hAnsiTheme="majorHAnsi"/>
          <w:b/>
          <w:color w:val="000000"/>
          <w:sz w:val="20"/>
          <w:szCs w:val="20"/>
          <w:shd w:val="clear" w:color="auto" w:fill="FFFFFF"/>
          <w:lang w:val="tr-TR"/>
        </w:rPr>
      </w:pPr>
      <w:bookmarkStart w:id="0" w:name="_GoBack"/>
      <w:bookmarkEnd w:id="0"/>
      <w:r w:rsidRPr="00FD4921">
        <w:rPr>
          <w:rStyle w:val="apple-style-span"/>
          <w:rFonts w:asciiTheme="majorHAnsi" w:hAnsiTheme="majorHAnsi"/>
          <w:b/>
          <w:color w:val="000000"/>
          <w:sz w:val="20"/>
          <w:szCs w:val="20"/>
          <w:shd w:val="clear" w:color="auto" w:fill="FFFFFF"/>
          <w:lang w:val="tr-TR"/>
        </w:rPr>
        <w:t>Tablo 2- Farklı gelir ve tüketim gruplarına göre enflasyon artış oranları (%)</w:t>
      </w:r>
    </w:p>
    <w:tbl>
      <w:tblPr>
        <w:tblW w:w="7840" w:type="dxa"/>
        <w:tblInd w:w="65" w:type="dxa"/>
        <w:tblCellMar>
          <w:left w:w="70" w:type="dxa"/>
          <w:right w:w="70" w:type="dxa"/>
        </w:tblCellMar>
        <w:tblLook w:val="04A0" w:firstRow="1" w:lastRow="0" w:firstColumn="1" w:lastColumn="0" w:noHBand="0" w:noVBand="1"/>
      </w:tblPr>
      <w:tblGrid>
        <w:gridCol w:w="3240"/>
        <w:gridCol w:w="735"/>
        <w:gridCol w:w="760"/>
        <w:gridCol w:w="760"/>
        <w:gridCol w:w="624"/>
        <w:gridCol w:w="520"/>
        <w:gridCol w:w="720"/>
        <w:gridCol w:w="520"/>
      </w:tblGrid>
      <w:tr w:rsidR="00FD4921" w:rsidRPr="00FD4921" w:rsidTr="00FD4921">
        <w:trPr>
          <w:trHeight w:val="255"/>
        </w:trPr>
        <w:tc>
          <w:tcPr>
            <w:tcW w:w="3240" w:type="dxa"/>
            <w:tcBorders>
              <w:top w:val="single" w:sz="4" w:space="0" w:color="auto"/>
              <w:left w:val="single" w:sz="4" w:space="0" w:color="auto"/>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700" w:type="dxa"/>
            <w:tcBorders>
              <w:top w:val="single" w:sz="4" w:space="0" w:color="auto"/>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13 YIL</w:t>
            </w:r>
          </w:p>
        </w:tc>
        <w:tc>
          <w:tcPr>
            <w:tcW w:w="760" w:type="dxa"/>
            <w:tcBorders>
              <w:top w:val="single" w:sz="4" w:space="0" w:color="auto"/>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10 YIL</w:t>
            </w:r>
          </w:p>
        </w:tc>
        <w:tc>
          <w:tcPr>
            <w:tcW w:w="760" w:type="dxa"/>
            <w:tcBorders>
              <w:top w:val="single" w:sz="4" w:space="0" w:color="auto"/>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 YIL</w:t>
            </w:r>
          </w:p>
        </w:tc>
        <w:tc>
          <w:tcPr>
            <w:tcW w:w="620" w:type="dxa"/>
            <w:tcBorders>
              <w:top w:val="single" w:sz="4" w:space="0" w:color="auto"/>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3 YIL</w:t>
            </w:r>
          </w:p>
        </w:tc>
        <w:tc>
          <w:tcPr>
            <w:tcW w:w="520" w:type="dxa"/>
            <w:tcBorders>
              <w:top w:val="single" w:sz="4" w:space="0" w:color="auto"/>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 YIL</w:t>
            </w:r>
          </w:p>
        </w:tc>
        <w:tc>
          <w:tcPr>
            <w:tcW w:w="720" w:type="dxa"/>
            <w:tcBorders>
              <w:top w:val="single" w:sz="4" w:space="0" w:color="auto"/>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proofErr w:type="gramStart"/>
            <w:r w:rsidRPr="00FD4921">
              <w:rPr>
                <w:rFonts w:asciiTheme="majorHAnsi" w:eastAsia="Times New Roman" w:hAnsiTheme="majorHAnsi" w:cs="Arial"/>
                <w:sz w:val="20"/>
                <w:szCs w:val="20"/>
                <w:lang w:val="tr-TR" w:eastAsia="tr-TR"/>
              </w:rPr>
              <w:t>YIL BAŞI</w:t>
            </w:r>
            <w:proofErr w:type="gramEnd"/>
          </w:p>
        </w:tc>
        <w:tc>
          <w:tcPr>
            <w:tcW w:w="520" w:type="dxa"/>
            <w:tcBorders>
              <w:top w:val="single" w:sz="4" w:space="0" w:color="auto"/>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 AY</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GENEL ENFLASYON</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182,78</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117,84</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50,86</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27,04</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8,79</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4,84</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1,16</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İŞTEKİ DURUMA GÖRE</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Düzenli Ücretli Çalışanlar</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201,47</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117,29</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50,22</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28,12</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9,00</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5,01</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1,02</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İşverenler</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197,38</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113,61</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49,59</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28,18</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9,04</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5,16</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0,93</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Kendi Hesabına Çalışanlar</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199,99</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119,78</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51,19</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28,04</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9,00</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5,07</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1,24</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Ücretsiz Aile Çalışanları</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195,48</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116,28</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50,16</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28,03</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8,91</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4,90</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1,04</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Yevmiyeli (Gündelik) Çalışanlar</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214,93</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126,33</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51,91</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28,20</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9,33</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5,40</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1,45</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Çalışmayanlar</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208,92</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122,05</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50,25</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28,05</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9,04</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5,06</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1,24</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MESLEĞE GÖRE</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lastRenderedPageBreak/>
              <w:t xml:space="preserve"> Büro Hizmetlerinde Çalışan Elemanlar</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203,17</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117,50</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49,75</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27,63</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8,82</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4,89</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0,98</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Çalışmayanlar</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208,92</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122,05</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50,25</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28,05</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9,04</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5,06</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1,24</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Hizmet Ve Satış Elemanları</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202,90</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119,38</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51,29</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28,47</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9,22</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5,18</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1,15</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Nitelik Gerektirmeyen İşlerde Çalışanlar</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211,31</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125,07</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51,69</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28,07</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9,19</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5,21</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1,39</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Nitelikli Tarım, Ormancılık Ve Su Ürünleri Çalışanları</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199,94</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122,61</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52,03</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27,79</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8,93</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4,96</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1,41</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Profesyonel Meslek Mensupları</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192,68</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110,52</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48,66</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28,09</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8,83</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4,87</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0,72</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w:t>
            </w:r>
            <w:proofErr w:type="gramStart"/>
            <w:r w:rsidRPr="00FD4921">
              <w:rPr>
                <w:rFonts w:asciiTheme="majorHAnsi" w:eastAsia="Times New Roman" w:hAnsiTheme="majorHAnsi" w:cs="Arial"/>
                <w:sz w:val="20"/>
                <w:szCs w:val="20"/>
                <w:lang w:val="tr-TR" w:eastAsia="tr-TR"/>
              </w:rPr>
              <w:t>Sanatkarlar</w:t>
            </w:r>
            <w:proofErr w:type="gramEnd"/>
            <w:r w:rsidRPr="00FD4921">
              <w:rPr>
                <w:rFonts w:asciiTheme="majorHAnsi" w:eastAsia="Times New Roman" w:hAnsiTheme="majorHAnsi" w:cs="Arial"/>
                <w:sz w:val="20"/>
                <w:szCs w:val="20"/>
                <w:lang w:val="tr-TR" w:eastAsia="tr-TR"/>
              </w:rPr>
              <w:t xml:space="preserve"> Ve İlgili İşlerde Çalışanlar</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204,34</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120,36</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50,94</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28,01</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9,07</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5,16</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1,24</w:t>
            </w:r>
          </w:p>
        </w:tc>
      </w:tr>
      <w:tr w:rsidR="00FD4921" w:rsidRPr="00FD4921" w:rsidTr="00FD4921">
        <w:trPr>
          <w:trHeight w:val="450"/>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Teknisyenler, Teknikerler Ve Yardımcı Profesyonel Meslek Mensupları</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198,73</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114,78</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48,99</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27,47</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8,64</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4,80</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0,91</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Tesis Ve Makine Operatörleri Ve Montajcılar</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210,12</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123,02</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51,18</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28,17</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9,23</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5,30</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1,28</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xml:space="preserve"> Yöneticiler</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198,13</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113,83</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49,87</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28,53</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9,06</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5,07</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0,87</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TEMEL GELİR KAYNAĞINA GÖRE</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Ücret, yevmiye</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202,00</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118,09</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50,45</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28,10</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9,02</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5,05</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1,08</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proofErr w:type="spellStart"/>
            <w:r w:rsidRPr="00FD4921">
              <w:rPr>
                <w:rFonts w:asciiTheme="majorHAnsi" w:eastAsia="Times New Roman" w:hAnsiTheme="majorHAnsi" w:cs="Arial"/>
                <w:sz w:val="20"/>
                <w:szCs w:val="20"/>
                <w:lang w:val="tr-TR" w:eastAsia="tr-TR"/>
              </w:rPr>
              <w:t>Mütesebbis</w:t>
            </w:r>
            <w:proofErr w:type="spellEnd"/>
            <w:r w:rsidRPr="00FD4921">
              <w:rPr>
                <w:rFonts w:asciiTheme="majorHAnsi" w:eastAsia="Times New Roman" w:hAnsiTheme="majorHAnsi" w:cs="Arial"/>
                <w:sz w:val="20"/>
                <w:szCs w:val="20"/>
                <w:lang w:val="tr-TR" w:eastAsia="tr-TR"/>
              </w:rPr>
              <w:t xml:space="preserve"> Geliri</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200,00</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117,88</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50,82</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28,42</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9,15</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5,22</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1,13</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Emekli aylığı</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207,72</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122,30</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50,39</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27,85</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8,99</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4,99</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1,27</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Diğer Transferler</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215,14</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123,78</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49,36</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27,86</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8,96</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4,90</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1,21</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Gayrimenkul Kira Geliri Ve Menkul Kıymet Faiz Geliri</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211,14</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119,42</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48,40</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27,02</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8,60</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4,80</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1,05</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GELİR GRUPLARINA GÖRE</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 </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 Yüzde 20 En Yoksul</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211,53</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127,32</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52,39</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28,19</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9,10</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5,04</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1,48</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 Yüzde 20</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208,03</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124,33</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51,55</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28,00</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8,98</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5,04</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1,36</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3. Yüzde 20</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207,78</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122,39</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50,85</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27,90</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9,07</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5,13</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1,27</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 Yüzde 20</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207,78</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122,39</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50,85</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27,90</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9,07</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5,13</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1,27</w:t>
            </w:r>
          </w:p>
        </w:tc>
      </w:tr>
      <w:tr w:rsidR="00FD4921" w:rsidRPr="00FD4921" w:rsidTr="00FD4921">
        <w:trPr>
          <w:trHeight w:val="255"/>
        </w:trPr>
        <w:tc>
          <w:tcPr>
            <w:tcW w:w="3240" w:type="dxa"/>
            <w:tcBorders>
              <w:top w:val="nil"/>
              <w:left w:val="single" w:sz="4" w:space="0" w:color="auto"/>
              <w:bottom w:val="single" w:sz="4" w:space="0" w:color="auto"/>
              <w:right w:val="single" w:sz="4" w:space="0" w:color="auto"/>
            </w:tcBorders>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5. Yüzde 20 En Zengin</w:t>
            </w:r>
          </w:p>
        </w:tc>
        <w:tc>
          <w:tcPr>
            <w:tcW w:w="70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197,10</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112,78</w:t>
            </w:r>
          </w:p>
        </w:tc>
        <w:tc>
          <w:tcPr>
            <w:tcW w:w="76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49,11</w:t>
            </w:r>
          </w:p>
        </w:tc>
        <w:tc>
          <w:tcPr>
            <w:tcW w:w="6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28,16</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8,94</w:t>
            </w:r>
          </w:p>
        </w:tc>
        <w:tc>
          <w:tcPr>
            <w:tcW w:w="7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4,99</w:t>
            </w:r>
          </w:p>
        </w:tc>
        <w:tc>
          <w:tcPr>
            <w:tcW w:w="520" w:type="dxa"/>
            <w:tcBorders>
              <w:top w:val="nil"/>
              <w:left w:val="nil"/>
              <w:bottom w:val="single" w:sz="4" w:space="0" w:color="auto"/>
              <w:right w:val="single" w:sz="4" w:space="0" w:color="auto"/>
            </w:tcBorders>
            <w:noWrap/>
            <w:vAlign w:val="bottom"/>
            <w:hideMark/>
          </w:tcPr>
          <w:p w:rsidR="00FD4921" w:rsidRPr="00FD4921" w:rsidRDefault="00FD4921" w:rsidP="00FD4921">
            <w:pPr>
              <w:spacing w:after="0" w:line="240" w:lineRule="auto"/>
              <w:rPr>
                <w:rFonts w:asciiTheme="majorHAnsi" w:eastAsia="Times New Roman" w:hAnsiTheme="majorHAnsi" w:cs="Arial"/>
                <w:sz w:val="20"/>
                <w:szCs w:val="20"/>
                <w:lang w:val="tr-TR" w:eastAsia="tr-TR"/>
              </w:rPr>
            </w:pPr>
            <w:r w:rsidRPr="00FD4921">
              <w:rPr>
                <w:rFonts w:asciiTheme="majorHAnsi" w:eastAsia="Times New Roman" w:hAnsiTheme="majorHAnsi" w:cs="Arial"/>
                <w:sz w:val="20"/>
                <w:szCs w:val="20"/>
                <w:lang w:val="tr-TR" w:eastAsia="tr-TR"/>
              </w:rPr>
              <w:t>0,83</w:t>
            </w:r>
          </w:p>
        </w:tc>
      </w:tr>
    </w:tbl>
    <w:p w:rsidR="00FD4921" w:rsidRPr="00FD4921" w:rsidRDefault="00FD4921" w:rsidP="00FD4921">
      <w:pPr>
        <w:spacing w:after="0" w:line="240" w:lineRule="auto"/>
        <w:jc w:val="both"/>
        <w:rPr>
          <w:rStyle w:val="apple-style-span"/>
          <w:rFonts w:asciiTheme="majorHAnsi" w:hAnsiTheme="majorHAnsi"/>
          <w:color w:val="000000"/>
          <w:sz w:val="24"/>
          <w:szCs w:val="24"/>
          <w:shd w:val="clear" w:color="auto" w:fill="FFFFFF"/>
          <w:lang w:val="tr-TR"/>
        </w:rPr>
      </w:pPr>
    </w:p>
    <w:p w:rsidR="00FD4921" w:rsidRPr="00FD4921" w:rsidRDefault="00FD4921" w:rsidP="00396BB6">
      <w:pPr>
        <w:spacing w:after="0" w:line="240" w:lineRule="auto"/>
        <w:ind w:left="1416" w:hanging="1416"/>
        <w:jc w:val="both"/>
        <w:rPr>
          <w:rStyle w:val="apple-style-span"/>
          <w:rFonts w:asciiTheme="majorHAnsi" w:hAnsiTheme="majorHAnsi"/>
          <w:color w:val="000000"/>
          <w:sz w:val="24"/>
          <w:szCs w:val="24"/>
          <w:shd w:val="clear" w:color="auto" w:fill="FFFFFF"/>
          <w:lang w:val="tr-TR"/>
        </w:rPr>
      </w:pPr>
      <w:r w:rsidRPr="00396BB6">
        <w:rPr>
          <w:rStyle w:val="apple-style-span"/>
          <w:rFonts w:asciiTheme="majorHAnsi" w:hAnsiTheme="majorHAnsi"/>
          <w:b/>
          <w:color w:val="000000"/>
          <w:sz w:val="24"/>
          <w:szCs w:val="24"/>
          <w:shd w:val="clear" w:color="auto" w:fill="FFFFFF"/>
          <w:lang w:val="tr-TR"/>
        </w:rPr>
        <w:t>Düzeltme:</w:t>
      </w:r>
      <w:r w:rsidR="00396BB6">
        <w:rPr>
          <w:rStyle w:val="apple-style-span"/>
          <w:rFonts w:asciiTheme="majorHAnsi" w:hAnsiTheme="majorHAnsi"/>
          <w:color w:val="000000"/>
          <w:sz w:val="24"/>
          <w:szCs w:val="24"/>
          <w:shd w:val="clear" w:color="auto" w:fill="FFFFFF"/>
          <w:lang w:val="tr-TR"/>
        </w:rPr>
        <w:tab/>
      </w:r>
      <w:r w:rsidRPr="00FD4921">
        <w:rPr>
          <w:rStyle w:val="apple-style-span"/>
          <w:rFonts w:asciiTheme="majorHAnsi" w:hAnsiTheme="majorHAnsi"/>
          <w:color w:val="000000"/>
          <w:sz w:val="24"/>
          <w:szCs w:val="24"/>
          <w:shd w:val="clear" w:color="auto" w:fill="FFFFFF"/>
          <w:lang w:val="tr-TR"/>
        </w:rPr>
        <w:t>Haziran 2016 dönemi için açıklanan gizli yoksullaşma oranlarında hesaplamadan kaynaklı olarak sonuçlar hatalı çıkmıştır. Kamuoyunun bilgisine sunar, özür dileriz.</w:t>
      </w:r>
    </w:p>
    <w:p w:rsidR="00FD4921" w:rsidRPr="00FD4921" w:rsidRDefault="00FD4921" w:rsidP="00FD4921">
      <w:pPr>
        <w:spacing w:after="0" w:line="240" w:lineRule="auto"/>
        <w:jc w:val="both"/>
        <w:rPr>
          <w:rStyle w:val="apple-style-span"/>
          <w:rFonts w:asciiTheme="majorHAnsi" w:hAnsiTheme="majorHAnsi"/>
          <w:color w:val="000000"/>
          <w:sz w:val="24"/>
          <w:szCs w:val="24"/>
          <w:shd w:val="clear" w:color="auto" w:fill="FFFFFF"/>
          <w:lang w:val="tr-TR"/>
        </w:rPr>
      </w:pPr>
    </w:p>
    <w:p w:rsidR="00FD4921" w:rsidRPr="00FD4921" w:rsidRDefault="00FD4921" w:rsidP="00FD4921">
      <w:pPr>
        <w:spacing w:after="0" w:line="240" w:lineRule="auto"/>
        <w:jc w:val="both"/>
        <w:rPr>
          <w:rStyle w:val="apple-style-span"/>
          <w:rFonts w:asciiTheme="majorHAnsi" w:hAnsiTheme="majorHAnsi"/>
          <w:color w:val="000000"/>
          <w:sz w:val="24"/>
          <w:szCs w:val="24"/>
          <w:shd w:val="clear" w:color="auto" w:fill="FFFFFF"/>
          <w:lang w:val="tr-TR"/>
        </w:rPr>
      </w:pPr>
    </w:p>
    <w:p w:rsidR="00FD4921" w:rsidRPr="00FD4921" w:rsidRDefault="00FD4921" w:rsidP="00FD4921">
      <w:pPr>
        <w:spacing w:after="0" w:line="240" w:lineRule="auto"/>
        <w:jc w:val="both"/>
        <w:rPr>
          <w:rStyle w:val="apple-style-span"/>
          <w:rFonts w:asciiTheme="majorHAnsi" w:hAnsiTheme="majorHAnsi"/>
          <w:color w:val="000000"/>
          <w:sz w:val="24"/>
          <w:szCs w:val="24"/>
          <w:shd w:val="clear" w:color="auto" w:fill="FFFFFF"/>
          <w:lang w:val="tr-TR"/>
        </w:rPr>
      </w:pPr>
    </w:p>
    <w:p w:rsidR="00FD4921" w:rsidRPr="00FD4921" w:rsidRDefault="00FD4921" w:rsidP="00FD4921">
      <w:pPr>
        <w:spacing w:after="0" w:line="240" w:lineRule="auto"/>
        <w:jc w:val="both"/>
        <w:rPr>
          <w:rStyle w:val="apple-style-span"/>
          <w:rFonts w:asciiTheme="majorHAnsi" w:hAnsiTheme="majorHAnsi"/>
          <w:color w:val="000000"/>
          <w:sz w:val="24"/>
          <w:szCs w:val="24"/>
          <w:shd w:val="clear" w:color="auto" w:fill="FFFFFF"/>
          <w:lang w:val="tr-TR"/>
        </w:rPr>
      </w:pPr>
    </w:p>
    <w:p w:rsidR="00FD4921" w:rsidRPr="00FD4921" w:rsidRDefault="00FD4921" w:rsidP="00FD4921">
      <w:pPr>
        <w:spacing w:after="0" w:line="240" w:lineRule="auto"/>
        <w:jc w:val="both"/>
        <w:rPr>
          <w:rStyle w:val="apple-style-span"/>
          <w:rFonts w:asciiTheme="majorHAnsi" w:hAnsiTheme="majorHAnsi"/>
          <w:color w:val="000000"/>
          <w:sz w:val="24"/>
          <w:szCs w:val="24"/>
          <w:shd w:val="clear" w:color="auto" w:fill="FFFFFF"/>
          <w:lang w:val="tr-TR"/>
        </w:rPr>
      </w:pPr>
    </w:p>
    <w:p w:rsidR="005B363E" w:rsidRPr="005B363E" w:rsidRDefault="005B363E" w:rsidP="005B363E">
      <w:pPr>
        <w:spacing w:before="40" w:after="60" w:line="240" w:lineRule="auto"/>
        <w:ind w:firstLineChars="176" w:firstLine="387"/>
        <w:jc w:val="right"/>
        <w:rPr>
          <w:lang w:val="tr-TR"/>
        </w:rPr>
      </w:pPr>
    </w:p>
    <w:sectPr w:rsidR="005B363E" w:rsidRPr="005B363E" w:rsidSect="00911198">
      <w:pgSz w:w="11906" w:h="16838"/>
      <w:pgMar w:top="1134" w:right="849"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5"/>
  </w:num>
  <w:num w:numId="4">
    <w:abstractNumId w:val="10"/>
  </w:num>
  <w:num w:numId="5">
    <w:abstractNumId w:val="9"/>
  </w:num>
  <w:num w:numId="6">
    <w:abstractNumId w:val="0"/>
  </w:num>
  <w:num w:numId="7">
    <w:abstractNumId w:val="4"/>
  </w:num>
  <w:num w:numId="8">
    <w:abstractNumId w:val="6"/>
  </w:num>
  <w:num w:numId="9">
    <w:abstractNumId w:val="2"/>
    <w:lvlOverride w:ilvl="0"/>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D6903"/>
    <w:rsid w:val="001E44F9"/>
    <w:rsid w:val="001F666D"/>
    <w:rsid w:val="002030FC"/>
    <w:rsid w:val="002160C2"/>
    <w:rsid w:val="00216239"/>
    <w:rsid w:val="00241F53"/>
    <w:rsid w:val="002503DE"/>
    <w:rsid w:val="00252046"/>
    <w:rsid w:val="002615B9"/>
    <w:rsid w:val="00272659"/>
    <w:rsid w:val="00274427"/>
    <w:rsid w:val="00284A66"/>
    <w:rsid w:val="002B2409"/>
    <w:rsid w:val="002D19EC"/>
    <w:rsid w:val="002D1ED7"/>
    <w:rsid w:val="002E5BE9"/>
    <w:rsid w:val="002E7263"/>
    <w:rsid w:val="002F3F3A"/>
    <w:rsid w:val="00314536"/>
    <w:rsid w:val="00321121"/>
    <w:rsid w:val="003346EE"/>
    <w:rsid w:val="00335A76"/>
    <w:rsid w:val="003370DB"/>
    <w:rsid w:val="00341605"/>
    <w:rsid w:val="00381C50"/>
    <w:rsid w:val="00390317"/>
    <w:rsid w:val="00395BC8"/>
    <w:rsid w:val="00396BB6"/>
    <w:rsid w:val="003A38F3"/>
    <w:rsid w:val="003A552A"/>
    <w:rsid w:val="003B2949"/>
    <w:rsid w:val="003C28A9"/>
    <w:rsid w:val="003D0B97"/>
    <w:rsid w:val="003E443F"/>
    <w:rsid w:val="003F2A33"/>
    <w:rsid w:val="003F4733"/>
    <w:rsid w:val="00403BF0"/>
    <w:rsid w:val="004046F3"/>
    <w:rsid w:val="004151D6"/>
    <w:rsid w:val="004436B3"/>
    <w:rsid w:val="004538D8"/>
    <w:rsid w:val="00462097"/>
    <w:rsid w:val="00465623"/>
    <w:rsid w:val="00476AE2"/>
    <w:rsid w:val="004C46F3"/>
    <w:rsid w:val="004D180E"/>
    <w:rsid w:val="004D34BB"/>
    <w:rsid w:val="004E088B"/>
    <w:rsid w:val="004F111B"/>
    <w:rsid w:val="0051441A"/>
    <w:rsid w:val="00521115"/>
    <w:rsid w:val="0056000D"/>
    <w:rsid w:val="00560C5F"/>
    <w:rsid w:val="00583CF6"/>
    <w:rsid w:val="005B363E"/>
    <w:rsid w:val="005F553C"/>
    <w:rsid w:val="00613254"/>
    <w:rsid w:val="00616B5F"/>
    <w:rsid w:val="006262C1"/>
    <w:rsid w:val="00647839"/>
    <w:rsid w:val="006756EC"/>
    <w:rsid w:val="00694DDB"/>
    <w:rsid w:val="006B359D"/>
    <w:rsid w:val="006C2E74"/>
    <w:rsid w:val="006C5B3F"/>
    <w:rsid w:val="006C74FD"/>
    <w:rsid w:val="006E6D46"/>
    <w:rsid w:val="00707D03"/>
    <w:rsid w:val="00721FD5"/>
    <w:rsid w:val="00730884"/>
    <w:rsid w:val="0073245B"/>
    <w:rsid w:val="007343D0"/>
    <w:rsid w:val="00740120"/>
    <w:rsid w:val="007539F7"/>
    <w:rsid w:val="007616E9"/>
    <w:rsid w:val="007819F3"/>
    <w:rsid w:val="00793FB7"/>
    <w:rsid w:val="007975FA"/>
    <w:rsid w:val="007C7FE2"/>
    <w:rsid w:val="007E1C2E"/>
    <w:rsid w:val="007F4117"/>
    <w:rsid w:val="008331A6"/>
    <w:rsid w:val="00852A79"/>
    <w:rsid w:val="0088474B"/>
    <w:rsid w:val="00884905"/>
    <w:rsid w:val="00897B20"/>
    <w:rsid w:val="008A508F"/>
    <w:rsid w:val="008A6BCC"/>
    <w:rsid w:val="008B05B5"/>
    <w:rsid w:val="008D32D9"/>
    <w:rsid w:val="008E2533"/>
    <w:rsid w:val="008F1E70"/>
    <w:rsid w:val="00911198"/>
    <w:rsid w:val="0091585E"/>
    <w:rsid w:val="00915A92"/>
    <w:rsid w:val="00920903"/>
    <w:rsid w:val="00934479"/>
    <w:rsid w:val="0093747B"/>
    <w:rsid w:val="009423F5"/>
    <w:rsid w:val="00967924"/>
    <w:rsid w:val="00983F9D"/>
    <w:rsid w:val="00986C4E"/>
    <w:rsid w:val="00995002"/>
    <w:rsid w:val="009A764B"/>
    <w:rsid w:val="009C0C85"/>
    <w:rsid w:val="009E034F"/>
    <w:rsid w:val="009E11A1"/>
    <w:rsid w:val="009F1DF3"/>
    <w:rsid w:val="00A12AAD"/>
    <w:rsid w:val="00A5368A"/>
    <w:rsid w:val="00A54A80"/>
    <w:rsid w:val="00A5775B"/>
    <w:rsid w:val="00A57AA7"/>
    <w:rsid w:val="00A67A44"/>
    <w:rsid w:val="00A76DEE"/>
    <w:rsid w:val="00A80143"/>
    <w:rsid w:val="00A834E2"/>
    <w:rsid w:val="00AC404E"/>
    <w:rsid w:val="00AD6D0E"/>
    <w:rsid w:val="00AE108A"/>
    <w:rsid w:val="00AE7E3D"/>
    <w:rsid w:val="00AF7617"/>
    <w:rsid w:val="00B448E6"/>
    <w:rsid w:val="00B44F5B"/>
    <w:rsid w:val="00B61DCD"/>
    <w:rsid w:val="00B82F9B"/>
    <w:rsid w:val="00B836EB"/>
    <w:rsid w:val="00BB0208"/>
    <w:rsid w:val="00BD19F0"/>
    <w:rsid w:val="00BE6D99"/>
    <w:rsid w:val="00C048B6"/>
    <w:rsid w:val="00C40D67"/>
    <w:rsid w:val="00C4269E"/>
    <w:rsid w:val="00C71E63"/>
    <w:rsid w:val="00C92532"/>
    <w:rsid w:val="00CD20DD"/>
    <w:rsid w:val="00CF6EBB"/>
    <w:rsid w:val="00D0733F"/>
    <w:rsid w:val="00D14147"/>
    <w:rsid w:val="00D37095"/>
    <w:rsid w:val="00D42669"/>
    <w:rsid w:val="00D4428C"/>
    <w:rsid w:val="00D5651E"/>
    <w:rsid w:val="00D67AF2"/>
    <w:rsid w:val="00D8606A"/>
    <w:rsid w:val="00D900DD"/>
    <w:rsid w:val="00D943CE"/>
    <w:rsid w:val="00DA0A03"/>
    <w:rsid w:val="00DB1F5F"/>
    <w:rsid w:val="00DC2F17"/>
    <w:rsid w:val="00DD0E6F"/>
    <w:rsid w:val="00E07047"/>
    <w:rsid w:val="00E30D77"/>
    <w:rsid w:val="00E4170C"/>
    <w:rsid w:val="00E50BF2"/>
    <w:rsid w:val="00E64069"/>
    <w:rsid w:val="00E940A8"/>
    <w:rsid w:val="00EB33D4"/>
    <w:rsid w:val="00EB4CDB"/>
    <w:rsid w:val="00EB67A6"/>
    <w:rsid w:val="00ED4049"/>
    <w:rsid w:val="00EE3DE9"/>
    <w:rsid w:val="00EF1FC3"/>
    <w:rsid w:val="00F0720F"/>
    <w:rsid w:val="00F1256E"/>
    <w:rsid w:val="00F21D10"/>
    <w:rsid w:val="00F30BDA"/>
    <w:rsid w:val="00F37C37"/>
    <w:rsid w:val="00F878BD"/>
    <w:rsid w:val="00FA1CEB"/>
    <w:rsid w:val="00FD4921"/>
    <w:rsid w:val="00FE3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character" w:customStyle="1" w:styleId="apple-style-span">
    <w:name w:val="apple-style-span"/>
    <w:basedOn w:val="VarsaylanParagrafYazTipi"/>
    <w:rsid w:val="00FD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91397015">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807C3-7465-43D1-A92B-0B01E264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1036</Words>
  <Characters>5906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6</cp:revision>
  <cp:lastPrinted>2016-07-21T08:10:00Z</cp:lastPrinted>
  <dcterms:created xsi:type="dcterms:W3CDTF">2016-08-04T14:10:00Z</dcterms:created>
  <dcterms:modified xsi:type="dcterms:W3CDTF">2016-08-04T14:14:00Z</dcterms:modified>
</cp:coreProperties>
</file>